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96F4F" w14:textId="5158C5EA" w:rsidR="00D07871" w:rsidRPr="007D4234" w:rsidRDefault="007D4234" w:rsidP="007D4234">
      <w:pPr>
        <w:pStyle w:val="MDPI31text"/>
        <w:spacing w:after="120" w:line="240" w:lineRule="auto"/>
        <w:ind w:firstLine="0"/>
        <w:jc w:val="left"/>
        <w:rPr>
          <w:b/>
          <w:sz w:val="36"/>
          <w:szCs w:val="36"/>
        </w:rPr>
      </w:pPr>
      <w:r w:rsidRPr="007D4234">
        <w:rPr>
          <w:b/>
          <w:sz w:val="36"/>
          <w:szCs w:val="36"/>
        </w:rPr>
        <w:t xml:space="preserve">Supplementary </w:t>
      </w:r>
      <w:bookmarkStart w:id="0" w:name="_GoBack"/>
      <w:bookmarkEnd w:id="0"/>
      <w:r w:rsidRPr="007D4234">
        <w:rPr>
          <w:b/>
          <w:sz w:val="36"/>
          <w:szCs w:val="36"/>
        </w:rPr>
        <w:t>Materials: Virus Resistance Is Not Costly in a Marine Alga Evolving under Multiple Environmental Stressors</w:t>
      </w:r>
    </w:p>
    <w:p w14:paraId="467FF60D" w14:textId="1F0C2821" w:rsidR="004966BB" w:rsidRPr="007D4234" w:rsidRDefault="007D4234" w:rsidP="007D4234">
      <w:pPr>
        <w:pStyle w:val="MDPI31text"/>
        <w:spacing w:after="240" w:line="240" w:lineRule="auto"/>
        <w:ind w:firstLine="0"/>
        <w:jc w:val="left"/>
        <w:rPr>
          <w:b/>
        </w:rPr>
      </w:pPr>
      <w:r w:rsidRPr="007D4234">
        <w:rPr>
          <w:b/>
        </w:rPr>
        <w:t>Sarah E. Heath, Kirsten Knox, Pedro F. Vale and Sinead Collins</w:t>
      </w:r>
    </w:p>
    <w:p w14:paraId="360F2E16" w14:textId="77777777" w:rsidR="004966BB" w:rsidRDefault="004966BB" w:rsidP="004966BB">
      <w:pPr>
        <w:pStyle w:val="MDPI22heading2"/>
        <w:spacing w:before="0" w:after="0" w:line="240" w:lineRule="auto"/>
        <w:jc w:val="both"/>
        <w:rPr>
          <w:i w:val="0"/>
        </w:rPr>
      </w:pPr>
      <w:r>
        <w:rPr>
          <w:i w:val="0"/>
          <w:snapToGrid/>
          <w:lang w:eastAsia="zh-CN" w:bidi="ar-SA"/>
        </w:rPr>
        <w:drawing>
          <wp:inline distT="0" distB="0" distL="0" distR="0" wp14:anchorId="71C354DC" wp14:editId="6D9B754E">
            <wp:extent cx="5615940" cy="5529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s.tiff"/>
                    <pic:cNvPicPr/>
                  </pic:nvPicPr>
                  <pic:blipFill>
                    <a:blip r:embed="rId6">
                      <a:extLst>
                        <a:ext uri="{28A0092B-C50C-407E-A947-70E740481C1C}">
                          <a14:useLocalDpi xmlns:a14="http://schemas.microsoft.com/office/drawing/2010/main" val="0"/>
                        </a:ext>
                      </a:extLst>
                    </a:blip>
                    <a:stretch>
                      <a:fillRect/>
                    </a:stretch>
                  </pic:blipFill>
                  <pic:spPr>
                    <a:xfrm>
                      <a:off x="0" y="0"/>
                      <a:ext cx="5615940" cy="5529580"/>
                    </a:xfrm>
                    <a:prstGeom prst="rect">
                      <a:avLst/>
                    </a:prstGeom>
                  </pic:spPr>
                </pic:pic>
              </a:graphicData>
            </a:graphic>
          </wp:inline>
        </w:drawing>
      </w:r>
    </w:p>
    <w:p w14:paraId="7F67C1E7" w14:textId="31F01D9B" w:rsidR="00D07871" w:rsidRDefault="004966BB" w:rsidP="00CA2E19">
      <w:pPr>
        <w:pStyle w:val="MDPI22heading2"/>
        <w:spacing w:before="0" w:after="0" w:line="240" w:lineRule="auto"/>
        <w:jc w:val="both"/>
        <w:rPr>
          <w:i w:val="0"/>
        </w:rPr>
      </w:pPr>
      <w:r w:rsidRPr="0002574F">
        <w:rPr>
          <w:b/>
          <w:i w:val="0"/>
        </w:rPr>
        <w:t xml:space="preserve">Figure </w:t>
      </w:r>
      <w:r w:rsidR="00CD084A" w:rsidRPr="0002574F">
        <w:rPr>
          <w:b/>
          <w:i w:val="0"/>
        </w:rPr>
        <w:t>S</w:t>
      </w:r>
      <w:r w:rsidRPr="0002574F">
        <w:rPr>
          <w:b/>
          <w:i w:val="0"/>
        </w:rPr>
        <w:t>1</w:t>
      </w:r>
      <w:r>
        <w:rPr>
          <w:i w:val="0"/>
        </w:rPr>
        <w:t xml:space="preserve">. Differences in cell densities between the populations that were not inoculated with OtV5 and populations that were inoculated. The dashed line represents no difference. </w:t>
      </w:r>
    </w:p>
    <w:p w14:paraId="22566704" w14:textId="77777777" w:rsidR="003A49E7" w:rsidRDefault="003A49E7" w:rsidP="00CA2E19">
      <w:pPr>
        <w:pStyle w:val="MDPI22heading2"/>
        <w:spacing w:before="0" w:after="0" w:line="240" w:lineRule="auto"/>
        <w:jc w:val="both"/>
        <w:rPr>
          <w:i w:val="0"/>
        </w:rPr>
      </w:pPr>
    </w:p>
    <w:p w14:paraId="67BAD84C" w14:textId="77777777" w:rsidR="003A49E7" w:rsidRDefault="003A49E7" w:rsidP="00CA2E19">
      <w:pPr>
        <w:pStyle w:val="MDPI22heading2"/>
        <w:spacing w:before="0" w:after="0" w:line="240" w:lineRule="auto"/>
        <w:jc w:val="both"/>
        <w:rPr>
          <w:i w:val="0"/>
        </w:rPr>
      </w:pPr>
    </w:p>
    <w:p w14:paraId="0608BF45" w14:textId="189E5D83" w:rsidR="003A49E7" w:rsidRDefault="003A49E7" w:rsidP="00CA2E19">
      <w:pPr>
        <w:pStyle w:val="MDPI22heading2"/>
        <w:spacing w:before="0" w:after="0" w:line="240" w:lineRule="auto"/>
        <w:jc w:val="both"/>
        <w:rPr>
          <w:i w:val="0"/>
        </w:rPr>
      </w:pPr>
      <w:r>
        <w:rPr>
          <w:rFonts w:asciiTheme="majorHAnsi" w:hAnsiTheme="majorHAnsi"/>
          <w:color w:val="FF0000"/>
          <w:lang w:eastAsia="zh-CN" w:bidi="ar-SA"/>
        </w:rPr>
        <w:lastRenderedPageBreak/>
        <w:drawing>
          <wp:inline distT="0" distB="0" distL="0" distR="0" wp14:anchorId="0E761AD9" wp14:editId="162B09C5">
            <wp:extent cx="5270500" cy="460708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4607088"/>
                    </a:xfrm>
                    <a:prstGeom prst="rect">
                      <a:avLst/>
                    </a:prstGeom>
                    <a:noFill/>
                    <a:ln>
                      <a:noFill/>
                    </a:ln>
                  </pic:spPr>
                </pic:pic>
              </a:graphicData>
            </a:graphic>
          </wp:inline>
        </w:drawing>
      </w:r>
    </w:p>
    <w:p w14:paraId="4DD34DB4" w14:textId="4504A205" w:rsidR="003A49E7" w:rsidRDefault="003A49E7" w:rsidP="00CA2E19">
      <w:pPr>
        <w:pStyle w:val="MDPI22heading2"/>
        <w:spacing w:before="0" w:after="0" w:line="240" w:lineRule="auto"/>
        <w:jc w:val="both"/>
        <w:rPr>
          <w:i w:val="0"/>
        </w:rPr>
      </w:pPr>
      <w:r w:rsidRPr="0002574F">
        <w:rPr>
          <w:b/>
          <w:i w:val="0"/>
        </w:rPr>
        <w:t xml:space="preserve">Figure </w:t>
      </w:r>
      <w:r w:rsidR="00CD084A" w:rsidRPr="0002574F">
        <w:rPr>
          <w:b/>
          <w:i w:val="0"/>
        </w:rPr>
        <w:t>S</w:t>
      </w:r>
      <w:r w:rsidRPr="0002574F">
        <w:rPr>
          <w:b/>
          <w:i w:val="0"/>
        </w:rPr>
        <w:t>2</w:t>
      </w:r>
      <w:r>
        <w:rPr>
          <w:i w:val="0"/>
        </w:rPr>
        <w:t>. Mean (± SE) cell density ml</w:t>
      </w:r>
      <w:r>
        <w:rPr>
          <w:i w:val="0"/>
          <w:vertAlign w:val="superscript"/>
        </w:rPr>
        <w:t>-1</w:t>
      </w:r>
      <w:r>
        <w:rPr>
          <w:i w:val="0"/>
        </w:rPr>
        <w:t xml:space="preserve"> of resistant (R), resistant producer (RP) and susceptible (S) </w:t>
      </w:r>
      <w:r>
        <w:t>O. tauri</w:t>
      </w:r>
      <w:r>
        <w:rPr>
          <w:i w:val="0"/>
        </w:rPr>
        <w:t xml:space="preserve"> lines 7 days after OtV5 inoculation in five </w:t>
      </w:r>
      <w:r w:rsidRPr="005C70C4">
        <w:rPr>
          <w:i w:val="0"/>
          <w:color w:val="auto"/>
        </w:rPr>
        <w:t>environments. Points represents the average of the three assay replicates for each evolved population. Inoculate</w:t>
      </w:r>
      <w:r>
        <w:rPr>
          <w:i w:val="0"/>
        </w:rPr>
        <w:t>d = popuations inoculated with OtV5, Not inoculated = negative control populations that were grown for the same period without OtV5 inoculation. There were three evolved populations of each line. The dashed line represents the starting cell density at 100 000 cell ml</w:t>
      </w:r>
      <w:r>
        <w:rPr>
          <w:i w:val="0"/>
          <w:vertAlign w:val="superscript"/>
        </w:rPr>
        <w:t>-1</w:t>
      </w:r>
      <w:r>
        <w:rPr>
          <w:i w:val="0"/>
        </w:rPr>
        <w:t>.</w:t>
      </w:r>
    </w:p>
    <w:p w14:paraId="0C228144" w14:textId="77777777" w:rsidR="003A49E7" w:rsidRDefault="003A49E7" w:rsidP="00CA2E19">
      <w:pPr>
        <w:pStyle w:val="MDPI22heading2"/>
        <w:spacing w:before="0" w:after="0" w:line="240" w:lineRule="auto"/>
        <w:jc w:val="both"/>
        <w:rPr>
          <w:i w:val="0"/>
        </w:rPr>
      </w:pPr>
    </w:p>
    <w:p w14:paraId="22C5D81C" w14:textId="77777777" w:rsidR="003A49E7" w:rsidRDefault="003A49E7" w:rsidP="00CA2E19">
      <w:pPr>
        <w:pStyle w:val="MDPI22heading2"/>
        <w:spacing w:before="0" w:after="0" w:line="240" w:lineRule="auto"/>
        <w:jc w:val="both"/>
        <w:rPr>
          <w:i w:val="0"/>
        </w:rPr>
      </w:pPr>
    </w:p>
    <w:p w14:paraId="1B006BD0" w14:textId="77777777" w:rsidR="003A49E7" w:rsidRDefault="003A49E7" w:rsidP="00CA2E19">
      <w:pPr>
        <w:pStyle w:val="MDPI22heading2"/>
        <w:spacing w:before="0" w:after="0" w:line="240" w:lineRule="auto"/>
        <w:jc w:val="both"/>
        <w:rPr>
          <w:i w:val="0"/>
        </w:rPr>
      </w:pPr>
    </w:p>
    <w:p w14:paraId="7A34C288" w14:textId="77777777" w:rsidR="003A49E7" w:rsidRDefault="003A49E7" w:rsidP="00CA2E19">
      <w:pPr>
        <w:pStyle w:val="MDPI22heading2"/>
        <w:spacing w:before="0" w:after="0" w:line="240" w:lineRule="auto"/>
        <w:jc w:val="both"/>
        <w:rPr>
          <w:i w:val="0"/>
        </w:rPr>
      </w:pPr>
    </w:p>
    <w:p w14:paraId="5517CF8B" w14:textId="77777777" w:rsidR="003A49E7" w:rsidRDefault="003A49E7" w:rsidP="00CA2E19">
      <w:pPr>
        <w:pStyle w:val="MDPI22heading2"/>
        <w:spacing w:before="0" w:after="0" w:line="240" w:lineRule="auto"/>
        <w:jc w:val="both"/>
        <w:rPr>
          <w:i w:val="0"/>
        </w:rPr>
      </w:pPr>
    </w:p>
    <w:p w14:paraId="0D81F652" w14:textId="77777777" w:rsidR="003A49E7" w:rsidRPr="00CA2E19" w:rsidRDefault="003A49E7" w:rsidP="00CA2E19">
      <w:pPr>
        <w:pStyle w:val="MDPI22heading2"/>
        <w:spacing w:before="0" w:after="0" w:line="240" w:lineRule="auto"/>
        <w:jc w:val="both"/>
        <w:rPr>
          <w:i w:val="0"/>
        </w:rPr>
      </w:pPr>
    </w:p>
    <w:p w14:paraId="4A86B8CC" w14:textId="77777777" w:rsidR="00D07871" w:rsidRDefault="00D07871" w:rsidP="00D07871">
      <w:pPr>
        <w:pStyle w:val="MDPI31text"/>
        <w:spacing w:line="240" w:lineRule="auto"/>
        <w:ind w:firstLine="0"/>
      </w:pPr>
      <w:r>
        <w:rPr>
          <w:noProof/>
          <w:snapToGrid/>
          <w:lang w:eastAsia="zh-CN" w:bidi="ar-SA"/>
        </w:rPr>
        <w:lastRenderedPageBreak/>
        <w:drawing>
          <wp:inline distT="0" distB="0" distL="0" distR="0" wp14:anchorId="43FDFA1F" wp14:editId="01715D19">
            <wp:extent cx="5615940" cy="3753425"/>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3753425"/>
                    </a:xfrm>
                    <a:prstGeom prst="rect">
                      <a:avLst/>
                    </a:prstGeom>
                    <a:noFill/>
                    <a:ln>
                      <a:noFill/>
                    </a:ln>
                  </pic:spPr>
                </pic:pic>
              </a:graphicData>
            </a:graphic>
          </wp:inline>
        </w:drawing>
      </w:r>
    </w:p>
    <w:p w14:paraId="2D6C49F2" w14:textId="7FA3AA83" w:rsidR="00D07871" w:rsidRPr="00BC2A29" w:rsidRDefault="003A49E7" w:rsidP="00D07871">
      <w:pPr>
        <w:pStyle w:val="MDPI31text"/>
        <w:spacing w:line="240" w:lineRule="auto"/>
        <w:ind w:firstLine="0"/>
      </w:pPr>
      <w:r w:rsidRPr="0002574F">
        <w:rPr>
          <w:b/>
        </w:rPr>
        <w:t xml:space="preserve">Figure </w:t>
      </w:r>
      <w:r w:rsidR="00CD084A" w:rsidRPr="0002574F">
        <w:rPr>
          <w:b/>
        </w:rPr>
        <w:t>S</w:t>
      </w:r>
      <w:r w:rsidRPr="0002574F">
        <w:rPr>
          <w:b/>
        </w:rPr>
        <w:t>3</w:t>
      </w:r>
      <w:r w:rsidR="00D07871">
        <w:t xml:space="preserve">. Cell density of </w:t>
      </w:r>
      <w:r w:rsidR="00D07871" w:rsidRPr="00422A82">
        <w:rPr>
          <w:i/>
        </w:rPr>
        <w:t xml:space="preserve">O. </w:t>
      </w:r>
      <w:proofErr w:type="spellStart"/>
      <w:r w:rsidR="00D07871" w:rsidRPr="00422A82">
        <w:rPr>
          <w:i/>
        </w:rPr>
        <w:t>tauri</w:t>
      </w:r>
      <w:proofErr w:type="spellEnd"/>
      <w:r w:rsidR="00D07871">
        <w:t xml:space="preserve"> strain RCC4221 after inoculation with supernatant from three resistant producer lines NG’10, NG’16 and NG27. Inoculation with </w:t>
      </w:r>
      <w:r w:rsidR="00D07871" w:rsidRPr="00422A82">
        <w:t>Keller</w:t>
      </w:r>
      <w:r w:rsidR="00D07871">
        <w:t xml:space="preserve"> media was used as a negative control and OtV5 was used as a positive control.</w:t>
      </w:r>
    </w:p>
    <w:p w14:paraId="2E5D889B" w14:textId="77777777" w:rsidR="002E0661" w:rsidRDefault="002E0661"/>
    <w:p w14:paraId="686917AC" w14:textId="77777777" w:rsidR="003A49E7" w:rsidRDefault="003A49E7"/>
    <w:p w14:paraId="22BE1D58" w14:textId="77777777" w:rsidR="003A49E7" w:rsidRDefault="003A49E7"/>
    <w:p w14:paraId="7278761C" w14:textId="77777777" w:rsidR="003A49E7" w:rsidRDefault="003A49E7"/>
    <w:p w14:paraId="52FB385A" w14:textId="77777777" w:rsidR="003A49E7" w:rsidRDefault="003A49E7"/>
    <w:p w14:paraId="554E64EB" w14:textId="77777777" w:rsidR="004966BB" w:rsidRDefault="004966BB" w:rsidP="004966BB">
      <w:pPr>
        <w:pStyle w:val="MDPI22heading2"/>
        <w:spacing w:before="0" w:after="0" w:line="240" w:lineRule="auto"/>
        <w:jc w:val="both"/>
        <w:rPr>
          <w:i w:val="0"/>
        </w:rPr>
      </w:pPr>
      <w:r>
        <w:rPr>
          <w:i w:val="0"/>
          <w:snapToGrid/>
          <w:lang w:eastAsia="zh-CN" w:bidi="ar-SA"/>
        </w:rPr>
        <w:lastRenderedPageBreak/>
        <w:drawing>
          <wp:inline distT="0" distB="0" distL="0" distR="0" wp14:anchorId="7FF01510" wp14:editId="3864FE06">
            <wp:extent cx="5615940" cy="3708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3708800"/>
                    </a:xfrm>
                    <a:prstGeom prst="rect">
                      <a:avLst/>
                    </a:prstGeom>
                    <a:noFill/>
                    <a:ln>
                      <a:noFill/>
                    </a:ln>
                  </pic:spPr>
                </pic:pic>
              </a:graphicData>
            </a:graphic>
          </wp:inline>
        </w:drawing>
      </w:r>
    </w:p>
    <w:p w14:paraId="3B827791" w14:textId="5E2B5319" w:rsidR="004966BB" w:rsidRDefault="004966BB" w:rsidP="004966BB">
      <w:pPr>
        <w:pStyle w:val="MDPI22heading2"/>
        <w:spacing w:before="0" w:after="0" w:line="240" w:lineRule="auto"/>
        <w:jc w:val="both"/>
        <w:rPr>
          <w:i w:val="0"/>
        </w:rPr>
      </w:pPr>
      <w:r w:rsidRPr="0002574F">
        <w:rPr>
          <w:b/>
          <w:i w:val="0"/>
        </w:rPr>
        <w:t>Fi</w:t>
      </w:r>
      <w:r w:rsidR="003A49E7" w:rsidRPr="0002574F">
        <w:rPr>
          <w:b/>
          <w:i w:val="0"/>
        </w:rPr>
        <w:t xml:space="preserve">gure </w:t>
      </w:r>
      <w:r w:rsidR="00CD084A" w:rsidRPr="0002574F">
        <w:rPr>
          <w:b/>
          <w:i w:val="0"/>
        </w:rPr>
        <w:t>S</w:t>
      </w:r>
      <w:r w:rsidR="003A49E7" w:rsidRPr="0002574F">
        <w:rPr>
          <w:b/>
          <w:i w:val="0"/>
        </w:rPr>
        <w:t>4</w:t>
      </w:r>
      <w:r>
        <w:rPr>
          <w:i w:val="0"/>
        </w:rPr>
        <w:t xml:space="preserve">. Mean cell size of </w:t>
      </w:r>
      <w:r>
        <w:t>O. tauri</w:t>
      </w:r>
      <w:r>
        <w:rPr>
          <w:i w:val="0"/>
        </w:rPr>
        <w:t xml:space="preserve"> populations evolved and assayed under different environments. R = resistant, RP= resistant producer, S= susceptible. Each panel represents an assay, with populations evolved in the selection environment (top label) and cell size measured in the assay environment (bottom label). </w:t>
      </w:r>
    </w:p>
    <w:p w14:paraId="7D94A6D1" w14:textId="77777777" w:rsidR="003A49E7" w:rsidRDefault="003A49E7" w:rsidP="004966BB">
      <w:pPr>
        <w:pStyle w:val="MDPI22heading2"/>
        <w:spacing w:before="0" w:after="0" w:line="240" w:lineRule="auto"/>
        <w:jc w:val="both"/>
        <w:rPr>
          <w:i w:val="0"/>
        </w:rPr>
      </w:pPr>
    </w:p>
    <w:p w14:paraId="4AD09424" w14:textId="77777777" w:rsidR="003A49E7" w:rsidRDefault="003A49E7" w:rsidP="004966BB">
      <w:pPr>
        <w:pStyle w:val="MDPI22heading2"/>
        <w:spacing w:before="0" w:after="0" w:line="240" w:lineRule="auto"/>
        <w:jc w:val="both"/>
        <w:rPr>
          <w:i w:val="0"/>
        </w:rPr>
      </w:pPr>
    </w:p>
    <w:p w14:paraId="3ECFF86D" w14:textId="77777777" w:rsidR="003A49E7" w:rsidRDefault="003A49E7" w:rsidP="004966BB">
      <w:pPr>
        <w:pStyle w:val="MDPI22heading2"/>
        <w:spacing w:before="0" w:after="0" w:line="240" w:lineRule="auto"/>
        <w:jc w:val="both"/>
        <w:rPr>
          <w:i w:val="0"/>
        </w:rPr>
      </w:pPr>
    </w:p>
    <w:p w14:paraId="4B7A5526" w14:textId="77777777" w:rsidR="003A49E7" w:rsidRDefault="003A49E7" w:rsidP="004966BB">
      <w:pPr>
        <w:pStyle w:val="MDPI22heading2"/>
        <w:spacing w:before="0" w:after="0" w:line="240" w:lineRule="auto"/>
        <w:jc w:val="both"/>
        <w:rPr>
          <w:i w:val="0"/>
        </w:rPr>
      </w:pPr>
    </w:p>
    <w:p w14:paraId="2F216DB2" w14:textId="77777777" w:rsidR="003A49E7" w:rsidRDefault="003A49E7" w:rsidP="004966BB">
      <w:pPr>
        <w:pStyle w:val="MDPI22heading2"/>
        <w:spacing w:before="0" w:after="0" w:line="240" w:lineRule="auto"/>
        <w:jc w:val="both"/>
        <w:rPr>
          <w:i w:val="0"/>
        </w:rPr>
      </w:pPr>
    </w:p>
    <w:p w14:paraId="1731DA9B" w14:textId="77777777" w:rsidR="004966BB" w:rsidRDefault="004966BB" w:rsidP="004966BB">
      <w:pPr>
        <w:pStyle w:val="MDPI22heading2"/>
        <w:spacing w:before="0" w:after="0" w:line="240" w:lineRule="auto"/>
        <w:jc w:val="both"/>
        <w:rPr>
          <w:i w:val="0"/>
        </w:rPr>
      </w:pPr>
      <w:r>
        <w:rPr>
          <w:i w:val="0"/>
          <w:snapToGrid/>
          <w:lang w:eastAsia="zh-CN" w:bidi="ar-SA"/>
        </w:rPr>
        <w:lastRenderedPageBreak/>
        <w:drawing>
          <wp:inline distT="0" distB="0" distL="0" distR="0" wp14:anchorId="157205B9" wp14:editId="52524001">
            <wp:extent cx="5615940" cy="37088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3708800"/>
                    </a:xfrm>
                    <a:prstGeom prst="rect">
                      <a:avLst/>
                    </a:prstGeom>
                    <a:noFill/>
                    <a:ln>
                      <a:noFill/>
                    </a:ln>
                  </pic:spPr>
                </pic:pic>
              </a:graphicData>
            </a:graphic>
          </wp:inline>
        </w:drawing>
      </w:r>
    </w:p>
    <w:p w14:paraId="6E9C397B" w14:textId="7C796CF2" w:rsidR="004966BB" w:rsidRDefault="003A49E7" w:rsidP="004966BB">
      <w:pPr>
        <w:pStyle w:val="MDPI22heading2"/>
        <w:spacing w:before="0" w:after="0" w:line="240" w:lineRule="auto"/>
        <w:jc w:val="both"/>
        <w:rPr>
          <w:i w:val="0"/>
        </w:rPr>
      </w:pPr>
      <w:r w:rsidRPr="0002574F">
        <w:rPr>
          <w:b/>
          <w:i w:val="0"/>
        </w:rPr>
        <w:t xml:space="preserve">Figure </w:t>
      </w:r>
      <w:r w:rsidR="00CD084A" w:rsidRPr="0002574F">
        <w:rPr>
          <w:b/>
          <w:i w:val="0"/>
        </w:rPr>
        <w:t>S</w:t>
      </w:r>
      <w:r w:rsidRPr="0002574F">
        <w:rPr>
          <w:b/>
          <w:i w:val="0"/>
        </w:rPr>
        <w:t>5</w:t>
      </w:r>
      <w:r w:rsidR="004966BB">
        <w:rPr>
          <w:i w:val="0"/>
        </w:rPr>
        <w:t xml:space="preserve">. Relative chlorophyll content per cell volume of </w:t>
      </w:r>
      <w:r w:rsidR="004966BB">
        <w:t>O. tauri</w:t>
      </w:r>
      <w:r w:rsidR="004966BB">
        <w:rPr>
          <w:i w:val="0"/>
        </w:rPr>
        <w:t xml:space="preserve"> populations evolved and assayed under different environments. R = resistant, RP= resistant producer, S= susceptible. Each panel represents an assay, with populations evolved in the selection environment (top label) and mean chlorphyll content per cell measured in the assay environment (bottom label).</w:t>
      </w:r>
    </w:p>
    <w:p w14:paraId="6F6299B3" w14:textId="77777777" w:rsidR="007D4234" w:rsidRPr="00F8319B" w:rsidRDefault="007D4234" w:rsidP="007D4234">
      <w:pPr>
        <w:adjustRightInd w:val="0"/>
        <w:snapToGrid w:val="0"/>
        <w:spacing w:before="240" w:line="260" w:lineRule="atLeast"/>
        <w:jc w:val="both"/>
      </w:pPr>
      <w:r w:rsidRPr="00B06B80">
        <w:rPr>
          <w:rFonts w:ascii="Palatino Linotype" w:hAnsi="Palatino Linotype"/>
          <w:noProof/>
          <w:snapToGrid w:val="0"/>
          <w:sz w:val="18"/>
          <w:szCs w:val="18"/>
          <w:lang w:eastAsia="zh-CN"/>
        </w:rPr>
        <w:drawing>
          <wp:anchor distT="0" distB="0" distL="114300" distR="114300" simplePos="0" relativeHeight="251659264" behindDoc="1" locked="0" layoutInCell="1" allowOverlap="1" wp14:anchorId="34AF556C" wp14:editId="456CF191">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8"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1="http://schemas.microsoft.com/office/drawing/2015/9/8/chartex" xmlns:cx="http://schemas.microsoft.com/office/drawing/2014/chartex"/>
                      </a:ext>
                    </a:extLst>
                  </pic:spPr>
                </pic:pic>
              </a:graphicData>
            </a:graphic>
          </wp:anchor>
        </w:drawing>
      </w:r>
      <w:r w:rsidRPr="00D23CC8">
        <w:rPr>
          <w:rFonts w:ascii="Palatino Linotype" w:hAnsi="Palatino Linotype"/>
          <w:snapToGrid w:val="0"/>
          <w:sz w:val="18"/>
          <w:szCs w:val="18"/>
          <w:lang w:bidi="en-US"/>
        </w:rPr>
        <w:t xml:space="preserve">© </w:t>
      </w:r>
      <w:r>
        <w:rPr>
          <w:rFonts w:ascii="Palatino Linotype" w:hAnsi="Palatino Linotype"/>
          <w:snapToGrid w:val="0"/>
          <w:sz w:val="18"/>
          <w:szCs w:val="18"/>
          <w:lang w:bidi="en-US"/>
        </w:rPr>
        <w:t>2017</w:t>
      </w:r>
      <w:r w:rsidRPr="003C6EFD">
        <w:rPr>
          <w:rFonts w:ascii="Palatino Linotype" w:hAnsi="Palatino Linotype"/>
          <w:snapToGrid w:val="0"/>
          <w:sz w:val="18"/>
          <w:szCs w:val="18"/>
          <w:lang w:bidi="en-US"/>
        </w:rPr>
        <w:t xml:space="preserve"> by the authors</w:t>
      </w:r>
      <w:r>
        <w:rPr>
          <w:rFonts w:ascii="Palatino Linotype" w:hAnsi="Palatino Linotype"/>
          <w:snapToGrid w:val="0"/>
          <w:sz w:val="18"/>
          <w:szCs w:val="18"/>
          <w:lang w:bidi="en-US"/>
        </w:rPr>
        <w:t>.</w:t>
      </w:r>
      <w:r w:rsidRPr="003C6EFD">
        <w:rPr>
          <w:rFonts w:ascii="Palatino Linotype" w:hAnsi="Palatino Linotype"/>
          <w:snapToGrid w:val="0"/>
          <w:sz w:val="18"/>
          <w:szCs w:val="18"/>
          <w:lang w:bidi="en-US"/>
        </w:rPr>
        <w:t xml:space="preserve"> Licensee MDPI, Basel, Switzerland. This article is an open access article distributed under the terms and conditions of the Creative Commons by Attribution (CC-BY) license (http://creativecommons.org/licenses/by/4.0/).</w:t>
      </w:r>
    </w:p>
    <w:p w14:paraId="03ABC2F3" w14:textId="77777777" w:rsidR="007D4234" w:rsidRDefault="007D4234"/>
    <w:sectPr w:rsidR="007D4234" w:rsidSect="00F366E6">
      <w:headerReference w:type="default" r:id="rId12"/>
      <w:pgSz w:w="11900" w:h="16840"/>
      <w:pgMar w:top="1440" w:right="1800" w:bottom="1440" w:left="1800" w:header="102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7E4D9" w14:textId="77777777" w:rsidR="00E104CA" w:rsidRDefault="00E104CA" w:rsidP="007D4234">
      <w:r>
        <w:separator/>
      </w:r>
    </w:p>
  </w:endnote>
  <w:endnote w:type="continuationSeparator" w:id="0">
    <w:p w14:paraId="3AA5EBB6" w14:textId="77777777" w:rsidR="00E104CA" w:rsidRDefault="00E104CA" w:rsidP="007D4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2CE80" w14:textId="77777777" w:rsidR="00E104CA" w:rsidRDefault="00E104CA" w:rsidP="007D4234">
      <w:r>
        <w:separator/>
      </w:r>
    </w:p>
  </w:footnote>
  <w:footnote w:type="continuationSeparator" w:id="0">
    <w:p w14:paraId="56766AB9" w14:textId="77777777" w:rsidR="00E104CA" w:rsidRDefault="00E104CA" w:rsidP="007D4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815F" w14:textId="2CDF353F" w:rsidR="007D4234" w:rsidRPr="00F366E6" w:rsidRDefault="00F366E6" w:rsidP="00F366E6">
    <w:pPr>
      <w:pStyle w:val="Header"/>
    </w:pPr>
    <w:r w:rsidRPr="00985EB1">
      <w:rPr>
        <w:rFonts w:ascii="Palatino Linotype" w:hAnsi="Palatino Linotype"/>
        <w:i/>
        <w:sz w:val="16"/>
        <w:szCs w:val="16"/>
      </w:rPr>
      <w:t>Viruses</w:t>
    </w:r>
    <w:r>
      <w:rPr>
        <w:rFonts w:ascii="Palatino Linotype" w:hAnsi="Palatino Linotype"/>
        <w:i/>
        <w:sz w:val="16"/>
        <w:szCs w:val="16"/>
      </w:rPr>
      <w:t xml:space="preserve"> </w:t>
    </w:r>
    <w:r w:rsidRPr="00B65510">
      <w:rPr>
        <w:rFonts w:ascii="Palatino Linotype" w:hAnsi="Palatino Linotype"/>
        <w:b/>
        <w:bCs/>
        <w:iCs/>
        <w:sz w:val="16"/>
        <w:szCs w:val="16"/>
      </w:rPr>
      <w:t>201</w:t>
    </w:r>
    <w:r>
      <w:rPr>
        <w:rFonts w:ascii="Palatino Linotype" w:eastAsia="宋体" w:hAnsi="Palatino Linotype"/>
        <w:b/>
        <w:bCs/>
        <w:iCs/>
        <w:sz w:val="16"/>
        <w:szCs w:val="16"/>
        <w:lang w:eastAsia="zh-CN"/>
      </w:rPr>
      <w:t>7</w:t>
    </w:r>
    <w:r w:rsidRPr="00B65510">
      <w:rPr>
        <w:rFonts w:ascii="Palatino Linotype" w:hAnsi="Palatino Linotype"/>
        <w:iCs/>
        <w:sz w:val="16"/>
        <w:szCs w:val="16"/>
      </w:rPr>
      <w:t xml:space="preserve">, </w:t>
    </w:r>
    <w:r>
      <w:rPr>
        <w:rFonts w:ascii="Palatino Linotype" w:eastAsia="宋体" w:hAnsi="Palatino Linotype"/>
        <w:i/>
        <w:iCs/>
        <w:sz w:val="16"/>
        <w:szCs w:val="16"/>
        <w:lang w:eastAsia="zh-CN"/>
      </w:rPr>
      <w:t>9</w:t>
    </w:r>
    <w:r w:rsidRPr="00B65510">
      <w:rPr>
        <w:rFonts w:ascii="Palatino Linotype" w:hAnsi="Palatino Linotype"/>
        <w:iCs/>
        <w:sz w:val="16"/>
        <w:szCs w:val="16"/>
      </w:rPr>
      <w:t>,</w:t>
    </w:r>
    <w:r w:rsidRPr="00B65510">
      <w:rPr>
        <w:rFonts w:ascii="Palatino Linotype" w:eastAsia="宋体" w:hAnsi="Palatino Linotype"/>
        <w:sz w:val="16"/>
        <w:szCs w:val="16"/>
        <w:lang w:eastAsia="zh-CN"/>
      </w:rPr>
      <w:t xml:space="preserve"> </w:t>
    </w:r>
    <w:r>
      <w:rPr>
        <w:rFonts w:ascii="Palatino Linotype" w:hAnsi="Palatino Linotype"/>
        <w:sz w:val="16"/>
      </w:rPr>
      <w:t>39</w:t>
    </w:r>
    <w:r w:rsidRPr="00B65510">
      <w:rPr>
        <w:rFonts w:ascii="Palatino Linotype" w:hAnsi="Palatino Linotype"/>
        <w:sz w:val="16"/>
        <w:szCs w:val="16"/>
        <w:lang w:val="fr-CH"/>
      </w:rPr>
      <w:t xml:space="preserve">; </w:t>
    </w:r>
    <w:proofErr w:type="spellStart"/>
    <w:r w:rsidRPr="00766D73">
      <w:rPr>
        <w:rFonts w:ascii="Palatino Linotype" w:hAnsi="Palatino Linotype"/>
        <w:sz w:val="16"/>
        <w:szCs w:val="16"/>
        <w:lang w:val="fr-CH"/>
      </w:rPr>
      <w:t>doi</w:t>
    </w:r>
    <w:proofErr w:type="spellEnd"/>
    <w:r w:rsidRPr="00766D73">
      <w:rPr>
        <w:rFonts w:ascii="Palatino Linotype" w:hAnsi="Palatino Linotype"/>
        <w:sz w:val="16"/>
        <w:szCs w:val="16"/>
        <w:lang w:val="fr-CH"/>
      </w:rPr>
      <w:t>: 10.3390/v90300</w:t>
    </w:r>
    <w:r>
      <w:rPr>
        <w:rFonts w:ascii="Palatino Linotype" w:hAnsi="Palatino Linotype"/>
        <w:sz w:val="16"/>
        <w:szCs w:val="16"/>
        <w:lang w:val="fr-CH"/>
      </w:rPr>
      <w:t>39</w:t>
    </w:r>
    <w:r>
      <w:rPr>
        <w:rFonts w:ascii="Palatino Linotype" w:hAnsi="Palatino Linotype"/>
        <w:sz w:val="16"/>
        <w:szCs w:val="16"/>
      </w:rPr>
      <w:t xml:space="preserve"> </w:t>
    </w:r>
    <w:r w:rsidRPr="00372FCD">
      <w:rPr>
        <w:rFonts w:ascii="Palatino Linotype" w:hAnsi="Palatino Linotype"/>
        <w:sz w:val="16"/>
        <w:szCs w:val="16"/>
        <w:lang w:val="fr-CH"/>
      </w:rPr>
      <w:tab/>
    </w:r>
    <w:r>
      <w:rPr>
        <w:rFonts w:ascii="Palatino Linotype" w:hAnsi="Palatino Linotype"/>
        <w:sz w:val="16"/>
        <w:szCs w:val="16"/>
        <w:lang w:val="fr-CH"/>
      </w:rPr>
      <w:ptab w:relativeTo="margin" w:alignment="right" w:leader="none"/>
    </w:r>
    <w:sdt>
      <w:sdtPr>
        <w:rPr>
          <w:rFonts w:ascii="Palatino Linotype" w:hAnsi="Palatino Linotype"/>
          <w:sz w:val="16"/>
          <w:szCs w:val="16"/>
        </w:rPr>
        <w:id w:val="-538821291"/>
        <w:docPartObj>
          <w:docPartGallery w:val="Page Numbers (Top of Page)"/>
          <w:docPartUnique/>
        </w:docPartObj>
      </w:sdtPr>
      <w:sdtEndPr>
        <w:rPr>
          <w:noProof/>
        </w:rPr>
      </w:sdtEndPr>
      <w:sdtContent>
        <w:r w:rsidRPr="00F366E6">
          <w:rPr>
            <w:rFonts w:ascii="Palatino Linotype" w:hAnsi="Palatino Linotype"/>
            <w:sz w:val="16"/>
            <w:szCs w:val="16"/>
          </w:rPr>
          <w:t>S</w:t>
        </w:r>
        <w:r w:rsidRPr="00F366E6">
          <w:rPr>
            <w:rFonts w:ascii="Palatino Linotype" w:hAnsi="Palatino Linotype"/>
            <w:sz w:val="16"/>
            <w:szCs w:val="16"/>
          </w:rPr>
          <w:fldChar w:fldCharType="begin"/>
        </w:r>
        <w:r w:rsidRPr="00F366E6">
          <w:rPr>
            <w:rFonts w:ascii="Palatino Linotype" w:hAnsi="Palatino Linotype"/>
            <w:sz w:val="16"/>
            <w:szCs w:val="16"/>
          </w:rPr>
          <w:instrText xml:space="preserve"> PAGE   \* MERGEFORMAT </w:instrText>
        </w:r>
        <w:r w:rsidRPr="00F366E6">
          <w:rPr>
            <w:rFonts w:ascii="Palatino Linotype" w:hAnsi="Palatino Linotype"/>
            <w:sz w:val="16"/>
            <w:szCs w:val="16"/>
          </w:rPr>
          <w:fldChar w:fldCharType="separate"/>
        </w:r>
        <w:r>
          <w:rPr>
            <w:rFonts w:ascii="Palatino Linotype" w:hAnsi="Palatino Linotype"/>
            <w:noProof/>
            <w:sz w:val="16"/>
            <w:szCs w:val="16"/>
          </w:rPr>
          <w:t>4</w:t>
        </w:r>
        <w:r w:rsidRPr="00F366E6">
          <w:rPr>
            <w:rFonts w:ascii="Palatino Linotype" w:hAnsi="Palatino Linotype"/>
            <w:noProof/>
            <w:sz w:val="16"/>
            <w:szCs w:val="16"/>
          </w:rPr>
          <w:fldChar w:fldCharType="end"/>
        </w:r>
      </w:sdtContent>
    </w:sdt>
    <w:r w:rsidRPr="00F366E6">
      <w:rPr>
        <w:rFonts w:ascii="Palatino Linotype" w:hAnsi="Palatino Linotype"/>
        <w:noProof/>
        <w:sz w:val="16"/>
        <w:szCs w:val="16"/>
      </w:rPr>
      <w:t>of S5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71"/>
    <w:rsid w:val="0002574F"/>
    <w:rsid w:val="0012432F"/>
    <w:rsid w:val="002E0661"/>
    <w:rsid w:val="003A49E7"/>
    <w:rsid w:val="004966BB"/>
    <w:rsid w:val="007D4234"/>
    <w:rsid w:val="00CA2E19"/>
    <w:rsid w:val="00CD084A"/>
    <w:rsid w:val="00D07871"/>
    <w:rsid w:val="00D71EC9"/>
    <w:rsid w:val="00E104CA"/>
    <w:rsid w:val="00F36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900E2"/>
  <w14:defaultImageDpi w14:val="300"/>
  <w15:docId w15:val="{85235777-799D-4E18-9088-E05AF294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31text">
    <w:name w:val="MDPI_3.1_text"/>
    <w:qFormat/>
    <w:rsid w:val="00D07871"/>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eastAsia="de-DE" w:bidi="en-US"/>
    </w:rPr>
  </w:style>
  <w:style w:type="paragraph" w:styleId="BalloonText">
    <w:name w:val="Balloon Text"/>
    <w:basedOn w:val="Normal"/>
    <w:link w:val="BalloonTextChar"/>
    <w:uiPriority w:val="99"/>
    <w:semiHidden/>
    <w:unhideWhenUsed/>
    <w:rsid w:val="00D078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7871"/>
    <w:rPr>
      <w:rFonts w:ascii="Lucida Grande" w:hAnsi="Lucida Grande" w:cs="Lucida Grande"/>
      <w:sz w:val="18"/>
      <w:szCs w:val="18"/>
    </w:rPr>
  </w:style>
  <w:style w:type="paragraph" w:customStyle="1" w:styleId="MDPI22heading2">
    <w:name w:val="MDPI_2.2_heading2"/>
    <w:basedOn w:val="Normal"/>
    <w:qFormat/>
    <w:rsid w:val="004966BB"/>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szCs w:val="22"/>
      <w:lang w:eastAsia="de-DE" w:bidi="en-US"/>
    </w:rPr>
  </w:style>
  <w:style w:type="paragraph" w:styleId="Header">
    <w:name w:val="header"/>
    <w:basedOn w:val="Normal"/>
    <w:link w:val="HeaderChar"/>
    <w:uiPriority w:val="99"/>
    <w:unhideWhenUsed/>
    <w:rsid w:val="007D4234"/>
    <w:pPr>
      <w:tabs>
        <w:tab w:val="center" w:pos="4320"/>
        <w:tab w:val="right" w:pos="8640"/>
      </w:tabs>
    </w:pPr>
  </w:style>
  <w:style w:type="character" w:customStyle="1" w:styleId="HeaderChar">
    <w:name w:val="Header Char"/>
    <w:basedOn w:val="DefaultParagraphFont"/>
    <w:link w:val="Header"/>
    <w:uiPriority w:val="99"/>
    <w:rsid w:val="007D4234"/>
  </w:style>
  <w:style w:type="paragraph" w:styleId="Footer">
    <w:name w:val="footer"/>
    <w:basedOn w:val="Normal"/>
    <w:link w:val="FooterChar"/>
    <w:uiPriority w:val="99"/>
    <w:unhideWhenUsed/>
    <w:rsid w:val="007D4234"/>
    <w:pPr>
      <w:tabs>
        <w:tab w:val="center" w:pos="4320"/>
        <w:tab w:val="right" w:pos="8640"/>
      </w:tabs>
    </w:pPr>
  </w:style>
  <w:style w:type="character" w:customStyle="1" w:styleId="FooterChar">
    <w:name w:val="Footer Char"/>
    <w:basedOn w:val="DefaultParagraphFont"/>
    <w:link w:val="Footer"/>
    <w:uiPriority w:val="99"/>
    <w:rsid w:val="007D4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wm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Services</dc:creator>
  <cp:keywords/>
  <dc:description/>
  <cp:lastModifiedBy>microsoft-tz3 microsoft-tz3</cp:lastModifiedBy>
  <cp:revision>6</cp:revision>
  <dcterms:created xsi:type="dcterms:W3CDTF">2017-02-24T12:00:00Z</dcterms:created>
  <dcterms:modified xsi:type="dcterms:W3CDTF">2017-03-08T09:47:00Z</dcterms:modified>
</cp:coreProperties>
</file>